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97424F">
        <w:rPr>
          <w:b/>
          <w:bCs/>
          <w:sz w:val="40"/>
          <w:szCs w:val="40"/>
        </w:rPr>
        <w:t>Побединского</w:t>
      </w:r>
      <w:r w:rsidR="00BE777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A2E07" w:rsidRDefault="009A2E07" w:rsidP="009A2E07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2C3222" w:rsidRDefault="002C3222" w:rsidP="002C322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2C3222" w:rsidRPr="002C3222" w:rsidRDefault="002C3222" w:rsidP="002C322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п. Победа</w:t>
      </w:r>
    </w:p>
    <w:p w:rsidR="002C3222" w:rsidRPr="000F1D43" w:rsidRDefault="002C3222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</w:p>
    <w:p w:rsidR="009A2E07" w:rsidRPr="00B330D5" w:rsidRDefault="00866C6C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23</w:t>
      </w:r>
      <w:r w:rsidR="00BE777B">
        <w:rPr>
          <w:bCs/>
          <w:color w:val="000000" w:themeColor="text1"/>
        </w:rPr>
        <w:t>.1</w:t>
      </w:r>
      <w:r w:rsidR="0097424F">
        <w:rPr>
          <w:bCs/>
          <w:color w:val="000000" w:themeColor="text1"/>
        </w:rPr>
        <w:t>2</w:t>
      </w:r>
      <w:r w:rsidR="005650CB">
        <w:rPr>
          <w:bCs/>
          <w:color w:val="000000" w:themeColor="text1"/>
        </w:rPr>
        <w:t>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</w:t>
      </w:r>
      <w:r w:rsidR="002C3222">
        <w:rPr>
          <w:bCs/>
          <w:color w:val="000000" w:themeColor="text1"/>
        </w:rPr>
        <w:t xml:space="preserve">            </w:t>
      </w:r>
      <w:r w:rsidR="009A2E07" w:rsidRPr="00B330D5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        </w:t>
      </w:r>
      <w:r w:rsidR="009A2E07" w:rsidRPr="00B330D5">
        <w:rPr>
          <w:bCs/>
          <w:color w:val="000000" w:themeColor="text1"/>
        </w:rPr>
        <w:t xml:space="preserve">  № </w:t>
      </w:r>
      <w:r>
        <w:rPr>
          <w:bCs/>
          <w:color w:val="000000" w:themeColor="text1"/>
        </w:rPr>
        <w:t>15</w:t>
      </w:r>
    </w:p>
    <w:p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781971" w:rsidRDefault="00781971" w:rsidP="00803D7D">
      <w:pPr>
        <w:jc w:val="center"/>
        <w:rPr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BE777B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2C3222">
        <w:rPr>
          <w:color w:val="000000" w:themeColor="text1"/>
        </w:rPr>
        <w:t>Побединского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BE777B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proofErr w:type="gramStart"/>
      <w:r w:rsidR="002C3222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2C3222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</w:t>
      </w:r>
      <w:proofErr w:type="gramEnd"/>
      <w:r w:rsidRPr="00B330D5">
        <w:rPr>
          <w:color w:val="000000" w:themeColor="text1"/>
        </w:rPr>
        <w:t xml:space="preserve"> </w:t>
      </w:r>
      <w:r w:rsidR="00BE777B">
        <w:rPr>
          <w:color w:val="000000" w:themeColor="text1"/>
        </w:rPr>
        <w:t>16</w:t>
      </w:r>
      <w:r w:rsidR="002C3222">
        <w:rPr>
          <w:color w:val="000000" w:themeColor="text1"/>
        </w:rPr>
        <w:t>5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C774BB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7424F">
        <w:rPr>
          <w:color w:val="000000" w:themeColor="text1"/>
        </w:rPr>
        <w:t xml:space="preserve"> </w:t>
      </w:r>
      <w:r w:rsidR="002C3222">
        <w:rPr>
          <w:color w:val="000000" w:themeColor="text1"/>
        </w:rPr>
        <w:t xml:space="preserve">Побединское </w:t>
      </w:r>
      <w:r w:rsidR="009A2E07" w:rsidRPr="00B330D5">
        <w:rPr>
          <w:color w:val="000000" w:themeColor="text1"/>
        </w:rPr>
        <w:t>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11441B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11441B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19</w:t>
      </w:r>
      <w:r w:rsidR="00F26D11" w:rsidRPr="00B330D5">
        <w:rPr>
          <w:color w:val="000000" w:themeColor="text1"/>
        </w:rPr>
        <w:t xml:space="preserve"> части 1 статьи 14 Федерального закона от 06</w:t>
      </w:r>
      <w:r w:rsidR="0011441B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11441B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13101F">
        <w:rPr>
          <w:color w:val="000000" w:themeColor="text1"/>
        </w:rPr>
        <w:t xml:space="preserve">Побединское </w:t>
      </w:r>
      <w:r w:rsidR="009A2E07" w:rsidRPr="00B330D5">
        <w:rPr>
          <w:color w:val="000000" w:themeColor="text1"/>
        </w:rPr>
        <w:t>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1A7B22">
        <w:rPr>
          <w:color w:val="000000" w:themeColor="text1"/>
        </w:rPr>
        <w:t>»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2C3222">
        <w:rPr>
          <w:b/>
          <w:color w:val="000000" w:themeColor="text1"/>
        </w:rPr>
        <w:t xml:space="preserve">Побединского </w:t>
      </w:r>
      <w:r w:rsidRPr="00B330D5">
        <w:rPr>
          <w:b/>
          <w:color w:val="000000" w:themeColor="text1"/>
        </w:rPr>
        <w:t>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proofErr w:type="gramStart"/>
      <w:r w:rsidR="002C3222">
        <w:rPr>
          <w:color w:val="000000" w:themeColor="text1"/>
        </w:rPr>
        <w:t xml:space="preserve">Побединского </w:t>
      </w:r>
      <w:r w:rsidR="009A2E07" w:rsidRPr="00B330D5">
        <w:rPr>
          <w:color w:val="000000" w:themeColor="text1"/>
        </w:rPr>
        <w:t xml:space="preserve"> сельского</w:t>
      </w:r>
      <w:proofErr w:type="gramEnd"/>
      <w:r w:rsidR="009A2E07" w:rsidRPr="00B330D5">
        <w:rPr>
          <w:color w:val="000000" w:themeColor="text1"/>
        </w:rPr>
        <w:t xml:space="preserve"> поселения от</w:t>
      </w:r>
      <w:r w:rsidR="002C3222">
        <w:rPr>
          <w:color w:val="000000" w:themeColor="text1"/>
        </w:rPr>
        <w:t xml:space="preserve"> 26</w:t>
      </w:r>
      <w:r w:rsidR="009A2E07" w:rsidRPr="00B330D5">
        <w:rPr>
          <w:color w:val="000000" w:themeColor="text1"/>
        </w:rPr>
        <w:t>.1</w:t>
      </w:r>
      <w:r w:rsidR="00BE777B">
        <w:rPr>
          <w:color w:val="000000" w:themeColor="text1"/>
        </w:rPr>
        <w:t>1.2021 № 16</w:t>
      </w:r>
      <w:r w:rsidR="002C3222">
        <w:rPr>
          <w:color w:val="000000" w:themeColor="text1"/>
        </w:rPr>
        <w:t xml:space="preserve">5 </w:t>
      </w:r>
      <w:r w:rsidR="00090886" w:rsidRPr="00B330D5">
        <w:rPr>
          <w:color w:val="000000" w:themeColor="text1"/>
        </w:rPr>
        <w:t xml:space="preserve">«Об </w:t>
      </w:r>
      <w:r w:rsidR="00975795" w:rsidRPr="00B330D5">
        <w:rPr>
          <w:color w:val="000000" w:themeColor="text1"/>
        </w:rPr>
        <w:t>утверждении Положения о муниципальном контроле в</w:t>
      </w:r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BE777B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>Побединское</w:t>
      </w:r>
      <w:r w:rsidR="002C3222">
        <w:rPr>
          <w:color w:val="000000" w:themeColor="text1"/>
        </w:rPr>
        <w:t xml:space="preserve"> </w:t>
      </w:r>
      <w:r w:rsidR="00975795" w:rsidRPr="00B330D5">
        <w:rPr>
          <w:color w:val="000000" w:themeColor="text1"/>
        </w:rPr>
        <w:t>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1A7B22" w:rsidRPr="00B330D5" w:rsidRDefault="001A7B22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</w:t>
      </w:r>
      <w:r w:rsidR="00781971">
        <w:rPr>
          <w:color w:val="000000" w:themeColor="text1"/>
        </w:rPr>
        <w:t xml:space="preserve">е </w:t>
      </w:r>
      <w:r w:rsidRPr="00B330D5">
        <w:rPr>
          <w:color w:val="000000"/>
        </w:rPr>
        <w:t>о муниципальном контроле в</w:t>
      </w:r>
      <w:r>
        <w:rPr>
          <w:color w:val="000000"/>
        </w:rPr>
        <w:t xml:space="preserve"> сфере благоустройства на территории</w:t>
      </w:r>
      <w:r w:rsidR="00BE777B">
        <w:rPr>
          <w:color w:val="000000"/>
        </w:rPr>
        <w:t xml:space="preserve"> </w:t>
      </w:r>
      <w:r>
        <w:rPr>
          <w:color w:val="000000" w:themeColor="text1"/>
        </w:rPr>
        <w:t>муниципального образования</w:t>
      </w:r>
      <w:r w:rsidR="00F74010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 xml:space="preserve">Побединское </w:t>
      </w:r>
      <w:r w:rsidR="002C3222">
        <w:rPr>
          <w:color w:val="000000" w:themeColor="text1"/>
        </w:rPr>
        <w:t>сельское поселение</w:t>
      </w:r>
      <w:r w:rsidRPr="00B330D5">
        <w:rPr>
          <w:color w:val="000000" w:themeColor="text1"/>
        </w:rPr>
        <w:t xml:space="preserve"> 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 </w:t>
      </w:r>
      <w:r w:rsidR="002C3222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контроля</w:t>
      </w:r>
      <w:r w:rsidRPr="00B330D5">
        <w:rPr>
          <w:color w:val="000000"/>
        </w:rPr>
        <w:t xml:space="preserve"> в</w:t>
      </w:r>
      <w:r w:rsidR="005C3C3D">
        <w:rPr>
          <w:color w:val="000000"/>
        </w:rPr>
        <w:t xml:space="preserve"> сфере благоустройства на территории</w:t>
      </w:r>
      <w:r w:rsidR="00F74010">
        <w:rPr>
          <w:color w:val="000000"/>
        </w:rPr>
        <w:t xml:space="preserve"> </w:t>
      </w:r>
      <w:r w:rsidR="005C3C3D">
        <w:rPr>
          <w:color w:val="000000" w:themeColor="text1"/>
        </w:rPr>
        <w:t>муниципального образования</w:t>
      </w:r>
      <w:r w:rsidR="002C3222" w:rsidRPr="002C3222">
        <w:rPr>
          <w:color w:val="000000" w:themeColor="text1"/>
        </w:rPr>
        <w:t xml:space="preserve"> </w:t>
      </w:r>
      <w:r w:rsidR="0013101F">
        <w:rPr>
          <w:color w:val="000000" w:themeColor="text1"/>
        </w:rPr>
        <w:t xml:space="preserve">Побединское </w:t>
      </w:r>
      <w:r w:rsidRPr="00B330D5">
        <w:rPr>
          <w:color w:val="000000" w:themeColor="text1"/>
        </w:rPr>
        <w:t>сельское поселение,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2C3222">
        <w:rPr>
          <w:rFonts w:ascii="Times New Roman" w:hAnsi="Times New Roman" w:cs="Times New Roman"/>
          <w:sz w:val="24"/>
          <w:szCs w:val="24"/>
        </w:rPr>
        <w:t xml:space="preserve"> 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на территории муниципального образования </w:t>
      </w:r>
      <w:proofErr w:type="gramStart"/>
      <w:r w:rsidR="002C3222" w:rsidRPr="002C3222">
        <w:rPr>
          <w:rFonts w:ascii="Times New Roman" w:hAnsi="Times New Roman" w:cs="Times New Roman"/>
          <w:color w:val="000000" w:themeColor="text1"/>
        </w:rPr>
        <w:t>Побединское</w:t>
      </w:r>
      <w:r w:rsidR="002C3222">
        <w:rPr>
          <w:color w:val="000000" w:themeColor="text1"/>
        </w:rPr>
        <w:t xml:space="preserve">  </w:t>
      </w:r>
      <w:r w:rsidR="002C32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сельское</w:t>
      </w:r>
      <w:proofErr w:type="gramEnd"/>
      <w:r w:rsidR="002C32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поселение 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1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1441B">
        <w:rPr>
          <w:color w:val="000000" w:themeColor="text1"/>
        </w:rPr>
        <w:t xml:space="preserve"> момента</w:t>
      </w:r>
      <w:r w:rsidR="002C3222">
        <w:rPr>
          <w:color w:val="000000" w:themeColor="text1"/>
        </w:rPr>
        <w:t xml:space="preserve"> </w:t>
      </w:r>
      <w:r w:rsidR="0011441B">
        <w:rPr>
          <w:color w:val="000000" w:themeColor="text1"/>
        </w:rPr>
        <w:t xml:space="preserve">его официального обнародования и распространяется на правоотношения, возникшие с </w:t>
      </w:r>
      <w:r w:rsidR="0011441B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402405">
        <w:t xml:space="preserve">Побединского 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</w:t>
      </w:r>
      <w:r w:rsidR="002C3222">
        <w:t xml:space="preserve">   </w:t>
      </w:r>
      <w:r w:rsidRPr="00B330D5">
        <w:t xml:space="preserve">  </w:t>
      </w:r>
      <w:r w:rsidR="002C3222">
        <w:t>Н.Н. Варламова</w:t>
      </w:r>
    </w:p>
    <w:p w:rsidR="00177694" w:rsidRDefault="000C6178">
      <w:pPr>
        <w:rPr>
          <w:color w:val="000000" w:themeColor="text1"/>
        </w:rPr>
      </w:pPr>
      <w:r w:rsidRPr="00B330D5">
        <w:t xml:space="preserve">Глава </w:t>
      </w:r>
      <w:r w:rsidR="002C3222">
        <w:t xml:space="preserve">Побединского </w:t>
      </w:r>
      <w:r w:rsidR="007761A7" w:rsidRPr="00B330D5">
        <w:t xml:space="preserve">сельского поселения                      </w:t>
      </w:r>
      <w:r w:rsidR="00402405">
        <w:t xml:space="preserve">                     </w:t>
      </w:r>
      <w:r w:rsidR="007761A7" w:rsidRPr="00B330D5">
        <w:t xml:space="preserve">    </w:t>
      </w:r>
      <w:r w:rsidR="00402405">
        <w:rPr>
          <w:iCs/>
          <w:color w:val="000000" w:themeColor="text1"/>
        </w:rPr>
        <w:t>В.П. Селиванов</w:t>
      </w:r>
      <w:r w:rsidR="007761A7" w:rsidRPr="00B330D5">
        <w:t xml:space="preserve">                                                        </w:t>
      </w:r>
    </w:p>
    <w:p w:rsidR="00402405" w:rsidRDefault="00402405" w:rsidP="00B803A8">
      <w:pPr>
        <w:ind w:left="4536"/>
        <w:jc w:val="right"/>
        <w:rPr>
          <w:color w:val="000000" w:themeColor="text1"/>
        </w:rPr>
      </w:pP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Приложение</w:t>
      </w:r>
      <w:r w:rsidR="006656FE" w:rsidRPr="0045230E">
        <w:rPr>
          <w:color w:val="000000" w:themeColor="text1"/>
        </w:rPr>
        <w:t xml:space="preserve"> № 1</w:t>
      </w:r>
      <w:r w:rsidR="00402405">
        <w:rPr>
          <w:color w:val="000000" w:themeColor="text1"/>
        </w:rPr>
        <w:t xml:space="preserve"> </w:t>
      </w:r>
      <w:r w:rsidRPr="0045230E">
        <w:rPr>
          <w:color w:val="000000" w:themeColor="text1"/>
        </w:rPr>
        <w:t>к</w:t>
      </w:r>
    </w:p>
    <w:p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lastRenderedPageBreak/>
        <w:t xml:space="preserve">решению </w:t>
      </w:r>
      <w:r w:rsidR="00B803A8" w:rsidRPr="0045230E">
        <w:rPr>
          <w:bCs/>
          <w:color w:val="000000"/>
        </w:rPr>
        <w:t xml:space="preserve">Совета </w:t>
      </w:r>
      <w:r w:rsidR="00402405">
        <w:rPr>
          <w:bCs/>
          <w:color w:val="000000"/>
        </w:rPr>
        <w:t xml:space="preserve">Побединского </w:t>
      </w:r>
    </w:p>
    <w:p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 xml:space="preserve">от </w:t>
      </w:r>
      <w:r w:rsidR="00866C6C">
        <w:rPr>
          <w:color w:val="000000" w:themeColor="text1"/>
        </w:rPr>
        <w:t>23.12.2022</w:t>
      </w:r>
      <w:bookmarkStart w:id="2" w:name="_GoBack"/>
      <w:bookmarkEnd w:id="2"/>
      <w:r w:rsidRPr="0045230E">
        <w:rPr>
          <w:color w:val="000000" w:themeColor="text1"/>
        </w:rPr>
        <w:t xml:space="preserve"> № </w:t>
      </w:r>
      <w:r w:rsidR="00866C6C">
        <w:rPr>
          <w:color w:val="000000" w:themeColor="text1"/>
        </w:rPr>
        <w:t>15</w:t>
      </w:r>
    </w:p>
    <w:p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 к</w:t>
      </w:r>
    </w:p>
    <w:p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652F2F" w:rsidRPr="0045230E" w:rsidRDefault="00402405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Побединское 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</w:p>
    <w:p w:rsidR="00652F2F" w:rsidRPr="0045230E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45230E" w:rsidRDefault="00652F2F" w:rsidP="00652F2F">
      <w:pPr>
        <w:jc w:val="center"/>
        <w:rPr>
          <w:i/>
          <w:iCs/>
        </w:rPr>
      </w:pPr>
      <w:r w:rsidRPr="0045230E">
        <w:t xml:space="preserve">Ключевые </w:t>
      </w:r>
      <w:r w:rsidR="005A2281" w:rsidRPr="0045230E">
        <w:t xml:space="preserve">и индикативные </w:t>
      </w:r>
      <w:r w:rsidRPr="0045230E">
        <w:t>показатели муниципального</w:t>
      </w:r>
      <w:r w:rsidR="00402405">
        <w:t xml:space="preserve"> </w:t>
      </w:r>
      <w:r w:rsidR="0045230E" w:rsidRPr="0045230E">
        <w:t>контроля в сфере благоустройства</w:t>
      </w:r>
      <w:r w:rsidR="00402405">
        <w:t xml:space="preserve"> </w:t>
      </w:r>
      <w:r w:rsidR="0045230E" w:rsidRPr="0045230E">
        <w:t>на территории</w:t>
      </w:r>
      <w:r w:rsidR="0045230E" w:rsidRPr="0045230E">
        <w:rPr>
          <w:color w:val="000000"/>
        </w:rPr>
        <w:t xml:space="preserve"> муниципального</w:t>
      </w:r>
      <w:r w:rsidR="00253051" w:rsidRPr="0045230E">
        <w:rPr>
          <w:color w:val="000000"/>
        </w:rPr>
        <w:t xml:space="preserve"> образовании </w:t>
      </w:r>
      <w:r w:rsidR="00402405">
        <w:rPr>
          <w:color w:val="000000"/>
        </w:rPr>
        <w:t xml:space="preserve">Побединское </w:t>
      </w:r>
      <w:r w:rsidR="0013101F">
        <w:rPr>
          <w:color w:val="000000"/>
        </w:rPr>
        <w:t>сельское поселение</w:t>
      </w:r>
      <w:r w:rsidR="005A2281" w:rsidRPr="0045230E">
        <w:rPr>
          <w:color w:val="000000"/>
        </w:rPr>
        <w:t xml:space="preserve"> (далее – муниципальный контроль</w:t>
      </w:r>
      <w:r w:rsidR="0045230E" w:rsidRPr="0045230E">
        <w:rPr>
          <w:color w:val="000000"/>
        </w:rPr>
        <w:t xml:space="preserve"> в сфере благоустройства</w:t>
      </w:r>
      <w:r w:rsidR="005A2281" w:rsidRPr="0045230E">
        <w:rPr>
          <w:color w:val="000000"/>
        </w:rPr>
        <w:t>)</w:t>
      </w:r>
    </w:p>
    <w:p w:rsidR="00652F2F" w:rsidRPr="0045230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58"/>
        <w:gridCol w:w="1412"/>
        <w:gridCol w:w="3352"/>
        <w:gridCol w:w="1812"/>
        <w:gridCol w:w="1568"/>
      </w:tblGrid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 = 100% х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/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C91654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:rsidR="0045230E" w:rsidRPr="0045230E" w:rsidRDefault="0045230E" w:rsidP="0045230E">
            <w:pPr>
              <w:jc w:val="both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с учетом площади всех прилегающих территорий. Соответствующая доля должна уменьшаться из года в год. Следовательно, предлагаем полученную величину уменьшить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lastRenderedPageBreak/>
              <w:t>примерно на 10% в сравнении с предыдущим годом)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А.2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УДК)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А.3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КМТОП)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случаев травматизма </w:t>
            </w:r>
            <w:proofErr w:type="gramStart"/>
            <w:r w:rsidRPr="0045230E">
              <w:rPr>
                <w:color w:val="000000"/>
                <w:sz w:val="20"/>
                <w:szCs w:val="20"/>
              </w:rPr>
              <w:t>людей,  выявленных</w:t>
            </w:r>
            <w:proofErr w:type="gramEnd"/>
            <w:r w:rsidRPr="0045230E">
              <w:rPr>
                <w:color w:val="000000"/>
                <w:sz w:val="20"/>
                <w:szCs w:val="20"/>
              </w:rPr>
              <w:t xml:space="preserve"> в течение отчетного года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СТЛ)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вследствие: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выявленных в течение отчетного года случаев причинения вреда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людям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</w:t>
            </w:r>
            <w:proofErr w:type="spellEnd"/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ми растениями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=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СВЛ)</w:t>
            </w:r>
          </w:p>
          <w:p w:rsidR="0045230E" w:rsidRPr="0045230E" w:rsidRDefault="00C91654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="0045230E"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45230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45230E" w:rsidRPr="0045230E" w:rsidTr="0045230E">
        <w:tc>
          <w:tcPr>
            <w:tcW w:w="10897" w:type="dxa"/>
            <w:gridSpan w:val="6"/>
            <w:shd w:val="clear" w:color="auto" w:fill="FFFFFF"/>
            <w:vAlign w:val="center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плановых </w:t>
            </w:r>
            <w:r w:rsidRPr="0045230E">
              <w:rPr>
                <w:sz w:val="20"/>
                <w:szCs w:val="20"/>
              </w:rPr>
              <w:lastRenderedPageBreak/>
              <w:t>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(КПМ),</w:t>
            </w:r>
            <w:r w:rsidRPr="0045230E">
              <w:rPr>
                <w:sz w:val="20"/>
                <w:szCs w:val="20"/>
              </w:rPr>
              <w:t xml:space="preserve"> </w:t>
            </w:r>
            <w:r w:rsidRPr="0045230E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устанавливается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равным количеству плановых контрольных мероприятий, предусмотренных планом на соответствующий год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(КВМ),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45230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45230E">
              <w:rPr>
                <w:color w:val="000000"/>
                <w:sz w:val="20"/>
                <w:szCs w:val="20"/>
              </w:rPr>
              <w:t xml:space="preserve"> (КВМИР),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</w:t>
            </w:r>
            <w:r w:rsidRPr="0045230E">
              <w:rPr>
                <w:color w:val="000000"/>
                <w:sz w:val="20"/>
                <w:szCs w:val="20"/>
              </w:rPr>
              <w:t xml:space="preserve"> (КМСВ),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контрольных мероприятий, проведенных за </w:t>
            </w:r>
            <w:r w:rsidRPr="0045230E">
              <w:rPr>
                <w:sz w:val="20"/>
                <w:szCs w:val="20"/>
              </w:rPr>
              <w:lastRenderedPageBreak/>
              <w:t>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Б.7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45230E">
              <w:rPr>
                <w:sz w:val="20"/>
                <w:szCs w:val="20"/>
              </w:rPr>
              <w:t>обязательных профилактических визитов</w:t>
            </w:r>
            <w:r w:rsidRPr="0045230E">
              <w:rPr>
                <w:color w:val="000000"/>
                <w:sz w:val="20"/>
                <w:szCs w:val="20"/>
              </w:rPr>
              <w:t xml:space="preserve"> (КОПВ),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45230E">
              <w:rPr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45230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(КПНН),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(КМНОТ),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 xml:space="preserve">Количество контрольных мероприятий, по итогам которых возбуждены дела об </w:t>
            </w:r>
            <w:r w:rsidRPr="0045230E">
              <w:rPr>
                <w:sz w:val="20"/>
                <w:szCs w:val="20"/>
              </w:rPr>
              <w:lastRenderedPageBreak/>
              <w:t>административных правонарушениях,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45230E">
              <w:rPr>
                <w:color w:val="000000"/>
                <w:sz w:val="20"/>
                <w:szCs w:val="20"/>
              </w:rPr>
              <w:t xml:space="preserve"> (КМАП),</w:t>
            </w:r>
            <w:r w:rsidRPr="0045230E">
              <w:rPr>
                <w:sz w:val="20"/>
                <w:szCs w:val="20"/>
              </w:rPr>
              <w:t xml:space="preserve"> проведенных за отчетный </w:t>
            </w:r>
            <w:r w:rsidRPr="0045230E">
              <w:rPr>
                <w:sz w:val="20"/>
                <w:szCs w:val="20"/>
              </w:rPr>
              <w:lastRenderedPageBreak/>
              <w:t>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45230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(АШ),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(КЗОП),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5230E">
              <w:rPr>
                <w:color w:val="000000"/>
                <w:sz w:val="20"/>
                <w:szCs w:val="20"/>
              </w:rPr>
              <w:t xml:space="preserve"> (КЗОПОС),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45230E" w:rsidRPr="0045230E" w:rsidRDefault="0045230E" w:rsidP="0045230E">
            <w:pPr>
              <w:rPr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45230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r w:rsidRPr="0045230E">
              <w:rPr>
                <w:sz w:val="20"/>
                <w:szCs w:val="20"/>
              </w:rPr>
              <w:t xml:space="preserve">Количество учтенных контролируемых лиц, в отношении которых проведены </w:t>
            </w:r>
            <w:r w:rsidRPr="0045230E">
              <w:rPr>
                <w:sz w:val="20"/>
                <w:szCs w:val="20"/>
              </w:rPr>
              <w:lastRenderedPageBreak/>
              <w:t>контрольные мероприятия,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Б.17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45230E">
              <w:rPr>
                <w:color w:val="000000"/>
                <w:sz w:val="20"/>
                <w:szCs w:val="20"/>
              </w:rPr>
              <w:t>(УКЛКМ)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45230E">
              <w:rPr>
                <w:color w:val="000000"/>
                <w:sz w:val="20"/>
                <w:szCs w:val="20"/>
              </w:rPr>
              <w:t>(КЖДП)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45230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45230E">
              <w:rPr>
                <w:color w:val="000000"/>
                <w:sz w:val="20"/>
                <w:szCs w:val="20"/>
              </w:rPr>
              <w:t>(КЖНС),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5230E">
              <w:rPr>
                <w:sz w:val="20"/>
                <w:szCs w:val="20"/>
              </w:rPr>
              <w:t>органа</w:t>
            </w:r>
            <w:proofErr w:type="gramEnd"/>
            <w:r w:rsidRPr="0045230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45230E">
              <w:rPr>
                <w:sz w:val="20"/>
                <w:szCs w:val="20"/>
              </w:rPr>
              <w:t>органа</w:t>
            </w:r>
            <w:proofErr w:type="gramEnd"/>
            <w:r w:rsidRPr="0045230E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45230E">
              <w:rPr>
                <w:color w:val="000000"/>
                <w:sz w:val="20"/>
                <w:szCs w:val="20"/>
              </w:rPr>
              <w:t xml:space="preserve"> (КЖОР),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5230E">
              <w:rPr>
                <w:color w:val="000000"/>
                <w:sz w:val="20"/>
                <w:szCs w:val="20"/>
              </w:rPr>
              <w:t xml:space="preserve"> (КИЗ),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</w:t>
            </w:r>
            <w:r w:rsidRPr="0045230E">
              <w:rPr>
                <w:sz w:val="20"/>
                <w:szCs w:val="20"/>
              </w:rPr>
              <w:lastRenderedPageBreak/>
              <w:t>лицами в судебном порядке, по которым принято решение об удовлетворении заявленных требований,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Б.22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(КУИЗ),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5230E">
              <w:rPr>
                <w:color w:val="000000"/>
                <w:sz w:val="20"/>
                <w:szCs w:val="20"/>
              </w:rPr>
              <w:t xml:space="preserve"> (КМГНТ),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91654"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91654"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обеспечение контроля в сфере </w:t>
            </w:r>
            <w:r w:rsidRPr="0045230E">
              <w:rPr>
                <w:color w:val="000000"/>
                <w:sz w:val="20"/>
                <w:szCs w:val="20"/>
              </w:rPr>
              <w:lastRenderedPageBreak/>
              <w:t>благоустройства (МТО)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5230E" w:rsidRPr="0045230E" w:rsidTr="0045230E">
        <w:tc>
          <w:tcPr>
            <w:tcW w:w="959" w:type="dxa"/>
            <w:shd w:val="clear" w:color="auto" w:fill="FFFFFF"/>
            <w:vAlign w:val="center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3352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lastRenderedPageBreak/>
        <w:t>Приложение № 2 к</w:t>
      </w:r>
    </w:p>
    <w:p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02405">
        <w:rPr>
          <w:bCs/>
          <w:color w:val="000000"/>
        </w:rPr>
        <w:t xml:space="preserve">Побединское </w:t>
      </w:r>
    </w:p>
    <w:p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656FE" w:rsidRPr="0045230E" w:rsidRDefault="006656FE" w:rsidP="006656FE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 xml:space="preserve">от </w:t>
      </w:r>
      <w:r w:rsidR="00866C6C">
        <w:rPr>
          <w:color w:val="000000" w:themeColor="text1"/>
        </w:rPr>
        <w:t>23.12.2022</w:t>
      </w:r>
      <w:r w:rsidRPr="0045230E">
        <w:rPr>
          <w:color w:val="000000" w:themeColor="text1"/>
        </w:rPr>
        <w:t xml:space="preserve"> № </w:t>
      </w:r>
      <w:r w:rsidR="00866C6C">
        <w:rPr>
          <w:color w:val="000000" w:themeColor="text1"/>
        </w:rPr>
        <w:t>15</w:t>
      </w:r>
    </w:p>
    <w:p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5230E" w:rsidRPr="0045230E" w:rsidRDefault="005C3C3D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45230E" w:rsidRPr="0045230E" w:rsidRDefault="00402405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5230E" w:rsidRDefault="00B330D5" w:rsidP="00EE3CD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установленных в сфере благоустройства, 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качестве основания для проведения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внеплановых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контрольных мероприятий при осуществлении муниципального контроля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благоустройства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230E" w:rsidRPr="0045230E" w:rsidRDefault="0045230E" w:rsidP="0045230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1. 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:rsidR="0045230E" w:rsidRPr="0045230E" w:rsidRDefault="0045230E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4E98" w:rsidRDefault="00D74E98">
      <w:pPr>
        <w:rPr>
          <w:color w:val="000000" w:themeColor="text1"/>
        </w:rPr>
      </w:pPr>
    </w:p>
    <w:p w:rsidR="00AA2D9D" w:rsidRPr="00781971" w:rsidRDefault="00AA2D9D" w:rsidP="00AA2D9D">
      <w:pPr>
        <w:rPr>
          <w:b/>
          <w:bCs/>
          <w:color w:val="000000"/>
        </w:rPr>
      </w:pPr>
    </w:p>
    <w:p w:rsidR="00AA2D9D" w:rsidRPr="00555D09" w:rsidRDefault="00AA2D9D" w:rsidP="00AA2D9D">
      <w:pPr>
        <w:rPr>
          <w:color w:val="000000" w:themeColor="text1"/>
        </w:rPr>
      </w:pPr>
    </w:p>
    <w:p w:rsidR="00546D9C" w:rsidRPr="00B07C6D" w:rsidRDefault="00546D9C" w:rsidP="00546D9C">
      <w:pPr>
        <w:rPr>
          <w:color w:val="000000" w:themeColor="text1"/>
        </w:rPr>
      </w:pPr>
    </w:p>
    <w:sectPr w:rsidR="00546D9C" w:rsidRPr="00B07C6D" w:rsidSect="00402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41" w:rsidRDefault="00FB6141" w:rsidP="00165F1F">
      <w:r>
        <w:separator/>
      </w:r>
    </w:p>
  </w:endnote>
  <w:endnote w:type="continuationSeparator" w:id="0">
    <w:p w:rsidR="00FB6141" w:rsidRDefault="00FB6141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41" w:rsidRDefault="00FB6141" w:rsidP="00165F1F">
      <w:r>
        <w:separator/>
      </w:r>
    </w:p>
  </w:footnote>
  <w:footnote w:type="continuationSeparator" w:id="0">
    <w:p w:rsidR="00FB6141" w:rsidRDefault="00FB6141" w:rsidP="00165F1F">
      <w:r>
        <w:continuationSeparator/>
      </w:r>
    </w:p>
  </w:footnote>
  <w:footnote w:id="1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45230E" w:rsidRPr="006073C6" w:rsidRDefault="0045230E" w:rsidP="0045230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="0013101F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 xml:space="preserve">проведение обязательных профилактических визитов должно быть предусмотрено в отношении </w:t>
      </w:r>
      <w:proofErr w:type="gramStart"/>
      <w:r w:rsidRPr="006073C6">
        <w:rPr>
          <w:color w:val="000000" w:themeColor="text1"/>
          <w:sz w:val="20"/>
          <w:szCs w:val="20"/>
          <w:shd w:val="clear" w:color="auto" w:fill="FFFFFF"/>
        </w:rPr>
        <w:t>объектов</w:t>
      </w:r>
      <w:r w:rsidR="0013101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 xml:space="preserve"> контроля</w:t>
      </w:r>
      <w:proofErr w:type="gramEnd"/>
      <w:r w:rsidRPr="006073C6">
        <w:rPr>
          <w:color w:val="000000" w:themeColor="text1"/>
          <w:sz w:val="20"/>
          <w:szCs w:val="20"/>
          <w:shd w:val="clear" w:color="auto" w:fill="FFFFFF"/>
        </w:rPr>
        <w:t>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5230E" w:rsidRDefault="00C91654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5230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2" w:rsidRDefault="001C7A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1441B"/>
    <w:rsid w:val="00124B66"/>
    <w:rsid w:val="001256A0"/>
    <w:rsid w:val="0013101F"/>
    <w:rsid w:val="001323E8"/>
    <w:rsid w:val="00146923"/>
    <w:rsid w:val="00150684"/>
    <w:rsid w:val="00160462"/>
    <w:rsid w:val="001634F5"/>
    <w:rsid w:val="00165F1F"/>
    <w:rsid w:val="00177694"/>
    <w:rsid w:val="00181535"/>
    <w:rsid w:val="00186D50"/>
    <w:rsid w:val="00191694"/>
    <w:rsid w:val="001A7B22"/>
    <w:rsid w:val="001B2A73"/>
    <w:rsid w:val="001C7A32"/>
    <w:rsid w:val="001D7310"/>
    <w:rsid w:val="001E52E9"/>
    <w:rsid w:val="002471CA"/>
    <w:rsid w:val="00253051"/>
    <w:rsid w:val="00255634"/>
    <w:rsid w:val="002702A8"/>
    <w:rsid w:val="00273B8F"/>
    <w:rsid w:val="00274093"/>
    <w:rsid w:val="00284189"/>
    <w:rsid w:val="00286BF7"/>
    <w:rsid w:val="002B2AD2"/>
    <w:rsid w:val="002B79C9"/>
    <w:rsid w:val="002C3222"/>
    <w:rsid w:val="002C5D96"/>
    <w:rsid w:val="002D3F6B"/>
    <w:rsid w:val="002F142A"/>
    <w:rsid w:val="00305F5C"/>
    <w:rsid w:val="00354979"/>
    <w:rsid w:val="003653BF"/>
    <w:rsid w:val="00366827"/>
    <w:rsid w:val="003669CD"/>
    <w:rsid w:val="00375290"/>
    <w:rsid w:val="003C1B77"/>
    <w:rsid w:val="003C26B2"/>
    <w:rsid w:val="003D2108"/>
    <w:rsid w:val="003E3508"/>
    <w:rsid w:val="00402405"/>
    <w:rsid w:val="0045230E"/>
    <w:rsid w:val="0047105B"/>
    <w:rsid w:val="00491D1B"/>
    <w:rsid w:val="004B51E1"/>
    <w:rsid w:val="004B6EA2"/>
    <w:rsid w:val="004C22CA"/>
    <w:rsid w:val="004C5DCB"/>
    <w:rsid w:val="004D10C3"/>
    <w:rsid w:val="00502733"/>
    <w:rsid w:val="00524F92"/>
    <w:rsid w:val="00546D9C"/>
    <w:rsid w:val="00555D09"/>
    <w:rsid w:val="00563C1F"/>
    <w:rsid w:val="005650CB"/>
    <w:rsid w:val="00575C94"/>
    <w:rsid w:val="0058100A"/>
    <w:rsid w:val="005977BD"/>
    <w:rsid w:val="005A2281"/>
    <w:rsid w:val="005B3716"/>
    <w:rsid w:val="005C3C3D"/>
    <w:rsid w:val="005F49F2"/>
    <w:rsid w:val="00611836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81971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66C6C"/>
    <w:rsid w:val="0087287E"/>
    <w:rsid w:val="00881E23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1938"/>
    <w:rsid w:val="00945B02"/>
    <w:rsid w:val="00951C54"/>
    <w:rsid w:val="00952146"/>
    <w:rsid w:val="0097424F"/>
    <w:rsid w:val="00975795"/>
    <w:rsid w:val="009952AE"/>
    <w:rsid w:val="0099719A"/>
    <w:rsid w:val="009A2507"/>
    <w:rsid w:val="009A2E07"/>
    <w:rsid w:val="009A3FE0"/>
    <w:rsid w:val="009A682F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A2D9D"/>
    <w:rsid w:val="00AD2838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E777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774BB"/>
    <w:rsid w:val="00C91654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74010"/>
    <w:rsid w:val="00F82F76"/>
    <w:rsid w:val="00F9640A"/>
    <w:rsid w:val="00FA4467"/>
    <w:rsid w:val="00FB43C0"/>
    <w:rsid w:val="00FB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6E4"/>
  <w15:docId w15:val="{37089362-D96D-42FF-A91D-C88F61F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794E-92ED-447C-9AAE-4B0AD4C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11</cp:revision>
  <cp:lastPrinted>2022-08-29T03:22:00Z</cp:lastPrinted>
  <dcterms:created xsi:type="dcterms:W3CDTF">2022-10-04T05:35:00Z</dcterms:created>
  <dcterms:modified xsi:type="dcterms:W3CDTF">2022-12-23T05:22:00Z</dcterms:modified>
</cp:coreProperties>
</file>